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51C" w:rsidRDefault="00FA411B" w:rsidP="00E65251">
      <w:pPr>
        <w:pStyle w:val="Antrat1"/>
        <w:jc w:val="center"/>
      </w:pPr>
      <w:r>
        <w:t>Rutiner for varsling</w:t>
      </w:r>
      <w:r>
        <w:br/>
        <w:t>hos</w:t>
      </w:r>
      <w:r>
        <w:br/>
      </w:r>
      <w:r w:rsidR="004A12E5" w:rsidRPr="00BC6389">
        <w:rPr>
          <w:noProof/>
          <w:highlight w:val="yellow"/>
        </w:rPr>
        <w:t>xxxxx</w:t>
      </w:r>
      <w:r w:rsidRPr="00BC6389">
        <w:rPr>
          <w:highlight w:val="yellow"/>
        </w:rPr>
        <w:t xml:space="preserve"> AS</w:t>
      </w:r>
    </w:p>
    <w:p w:rsidR="004904E7" w:rsidRDefault="00FA411B" w:rsidP="004904E7">
      <w:r>
        <w:br/>
      </w:r>
      <w:r>
        <w:t>Rutinene</w:t>
      </w:r>
      <w:r w:rsidRPr="00E65251">
        <w:t xml:space="preserve"> gjelder fra</w:t>
      </w:r>
      <w:r>
        <w:t xml:space="preserve"> </w:t>
      </w:r>
      <w:r>
        <w:rPr>
          <w:noProof/>
        </w:rPr>
        <w:t>01.07.2017</w:t>
      </w:r>
      <w:r w:rsidRPr="00E65251">
        <w:t xml:space="preserve">, og inntil nyere </w:t>
      </w:r>
      <w:r>
        <w:t>rutiner</w:t>
      </w:r>
      <w:r w:rsidRPr="00E65251">
        <w:t xml:space="preserve"> foreligger.</w:t>
      </w:r>
      <w:r>
        <w:br/>
      </w:r>
    </w:p>
    <w:p w:rsidR="004904E7" w:rsidRDefault="00FA411B" w:rsidP="001559C2">
      <w:pPr>
        <w:pStyle w:val="Antrat2"/>
        <w:numPr>
          <w:ilvl w:val="0"/>
          <w:numId w:val="7"/>
        </w:numPr>
      </w:pPr>
      <w:r>
        <w:t>Åpen ytringskultur</w:t>
      </w:r>
      <w:r>
        <w:t xml:space="preserve">  </w:t>
      </w:r>
    </w:p>
    <w:p w:rsidR="006945D4" w:rsidRDefault="00FA411B" w:rsidP="00B3359B">
      <w:pPr>
        <w:rPr>
          <w:rFonts w:ascii="Calibri" w:hAnsi="Calibri" w:cs="Calibri"/>
          <w:color w:val="000000"/>
        </w:rPr>
      </w:pPr>
      <w:r>
        <w:rPr>
          <w:rFonts w:ascii="Calibri" w:hAnsi="Calibri" w:cs="Calibri"/>
          <w:noProof/>
          <w:color w:val="000000"/>
        </w:rPr>
        <w:t>I vår</w:t>
      </w:r>
      <w:r>
        <w:rPr>
          <w:rFonts w:ascii="Calibri" w:hAnsi="Calibri" w:cs="Calibri"/>
          <w:color w:val="000000"/>
        </w:rPr>
        <w:t xml:space="preserve"> bedrift vektlegger vi en åpen ytringskultur. En åpen ytringskult</w:t>
      </w:r>
      <w:bookmarkStart w:id="0" w:name="_GoBack"/>
      <w:bookmarkEnd w:id="0"/>
      <w:r>
        <w:rPr>
          <w:rFonts w:ascii="Calibri" w:hAnsi="Calibri" w:cs="Calibri"/>
          <w:color w:val="000000"/>
        </w:rPr>
        <w:t>ur er viktig for det generelle arbeidsmiljøet og den enkeltes trivsel. I tillegg er dette sentralt for at virksomheten skal kunne drives på best mulig måte. Forhold av ulovlig eller uetisk ka</w:t>
      </w:r>
      <w:r>
        <w:rPr>
          <w:rFonts w:ascii="Calibri" w:hAnsi="Calibri" w:cs="Calibri"/>
          <w:color w:val="000000"/>
        </w:rPr>
        <w:t>rakter kan være til skade for arbeidsmiljøet, den enkelte og virksomheten. Det er derfor viktig at slike forhold gripes fatt i og håndteres på en forsvarlig måte.</w:t>
      </w:r>
    </w:p>
    <w:p w:rsidR="004D451C" w:rsidRDefault="00FA411B" w:rsidP="006945D4">
      <w:r>
        <w:rPr>
          <w:noProof/>
        </w:rPr>
        <w:t>I tillegg</w:t>
      </w:r>
      <w:r>
        <w:rPr>
          <w:noProof/>
        </w:rPr>
        <w:t xml:space="preserve"> til behovet for en åpen ytringskultur, har den enkelte arbeidstaker en lovfestet re</w:t>
      </w:r>
      <w:r>
        <w:rPr>
          <w:noProof/>
        </w:rPr>
        <w:t>tt til å varsle. Arbeidstaker skal også beskyttes mot gjengjeldelse som følge av slik varsling. En grunnregel etter arbeidsmiljøloven er imidlertid at arbeidstakers varsling skal skje på forsvarlig måte. Disse retningslinjene skal bidra til å skape klarhet</w:t>
      </w:r>
      <w:r>
        <w:rPr>
          <w:noProof/>
        </w:rPr>
        <w:t xml:space="preserve"> rundt hva som skal betraktes som forsvarlig fremgangsmåte ved varsling. Retningslinjene tar også sikte på å legge forholdene til rette for intern varsling. </w:t>
      </w:r>
    </w:p>
    <w:p w:rsidR="00CE0645" w:rsidRDefault="00FA411B" w:rsidP="006945D4">
      <w:r>
        <w:rPr>
          <w:noProof/>
        </w:rPr>
        <w:t xml:space="preserve">Varsling kan i spesielle tilfeller skje på annen måte og/eller til andre personer/organer enn det </w:t>
      </w:r>
      <w:r>
        <w:rPr>
          <w:noProof/>
        </w:rPr>
        <w:t>som fremgår av disse retningslinjene. Varsling til personer utenfor virksomheten - utover offentlige myndigheter - vil normalt utgjøre brudd på den enkeltes plikter etter arbeidsavtalen, hvis retningslinjene for intern varsling ikke er fulgt.</w:t>
      </w:r>
    </w:p>
    <w:p w:rsidR="003C2F96" w:rsidRDefault="00FA411B" w:rsidP="001559C2">
      <w:pPr>
        <w:pStyle w:val="Antrat2"/>
        <w:numPr>
          <w:ilvl w:val="0"/>
          <w:numId w:val="7"/>
        </w:numPr>
      </w:pPr>
      <w:r>
        <w:t>Ansattes rett</w:t>
      </w:r>
      <w:r>
        <w:t xml:space="preserve"> og plikt til å varsle</w:t>
      </w:r>
      <w:r>
        <w:t xml:space="preserve"> </w:t>
      </w:r>
    </w:p>
    <w:p w:rsidR="003C2F96" w:rsidRDefault="00FA411B" w:rsidP="006945D4">
      <w:r>
        <w:rPr>
          <w:noProof/>
        </w:rPr>
        <w:t>Ansatte som</w:t>
      </w:r>
      <w:r>
        <w:rPr>
          <w:noProof/>
        </w:rPr>
        <w:t xml:space="preserve"> har grunn til å tro at det foreligger ulovlige forhold knyttet til virksomheten bør varsle om dette. Det samme gjelder dersom den ansatte oppdager brudd på virksomhetens etiske retningslinjer eller alminnelige etiske sta</w:t>
      </w:r>
      <w:r>
        <w:rPr>
          <w:noProof/>
        </w:rPr>
        <w:t xml:space="preserve">ndarder. </w:t>
      </w:r>
    </w:p>
    <w:p w:rsidR="003C2F96" w:rsidRDefault="00FA411B" w:rsidP="006945D4">
      <w:r>
        <w:rPr>
          <w:noProof/>
        </w:rPr>
        <w:t>I tillegg til å ha en rett til å varsle, kan det følge av den enkeltes stilling eller arbeidsavtalen at man har en plikt til å varsle. Arbeidstakere kan også ha varslingsplikt etter arbeidsmiljøloven, blant annet om man blir kjent med at det fore</w:t>
      </w:r>
      <w:r>
        <w:rPr>
          <w:noProof/>
        </w:rPr>
        <w:t>går trakassering eller diskriminering på arbeidsplassen, og om man blir oppmerksom på feil eller mangler som kan medføre fare for liv og helse, og vedkommende ikke selv kan rette på forholdet.</w:t>
      </w:r>
    </w:p>
    <w:p w:rsidR="003C2F96" w:rsidRDefault="00FA411B" w:rsidP="001559C2">
      <w:pPr>
        <w:pStyle w:val="Antrat2"/>
        <w:numPr>
          <w:ilvl w:val="0"/>
          <w:numId w:val="7"/>
        </w:numPr>
      </w:pPr>
      <w:r>
        <w:t>Varsel til og tilbakemelding fra kontaktpersoner</w:t>
      </w:r>
      <w:r>
        <w:t xml:space="preserve"> </w:t>
      </w:r>
    </w:p>
    <w:p w:rsidR="003C2F96" w:rsidRDefault="00FA411B" w:rsidP="006945D4">
      <w:r>
        <w:rPr>
          <w:noProof/>
        </w:rPr>
        <w:t>Varsling bør</w:t>
      </w:r>
      <w:r>
        <w:rPr>
          <w:noProof/>
        </w:rPr>
        <w:t xml:space="preserve"> </w:t>
      </w:r>
      <w:r>
        <w:rPr>
          <w:noProof/>
        </w:rPr>
        <w:t xml:space="preserve">skje til nærmeste leder, verneombud eller tillitsvalgt. Hvis dette er uhensiktsmessig, kan varsling skje direkte til virksomhetens daglige leder. </w:t>
      </w:r>
    </w:p>
    <w:p w:rsidR="003C2F96" w:rsidRDefault="00FA411B" w:rsidP="006945D4">
      <w:r>
        <w:rPr>
          <w:noProof/>
        </w:rPr>
        <w:t>Dersom arbeidstaker ikke har mottatt tilfredsstillende tilbakemelding innen rimelig tid etter å ha varslet om</w:t>
      </w:r>
      <w:r>
        <w:rPr>
          <w:noProof/>
        </w:rPr>
        <w:t xml:space="preserve"> et forhold som omfattes av disse retningslinjene, skal han/hun melde fra om forholdet til daglig leder, dersom nærmeste leder, verneombud eller tillitsvalgt tidligere er varslet.</w:t>
      </w:r>
    </w:p>
    <w:p w:rsidR="003C2F96" w:rsidRDefault="00FA411B" w:rsidP="001559C2">
      <w:pPr>
        <w:pStyle w:val="Antrat2"/>
        <w:numPr>
          <w:ilvl w:val="0"/>
          <w:numId w:val="7"/>
        </w:numPr>
      </w:pPr>
      <w:r>
        <w:lastRenderedPageBreak/>
        <w:t>Varslingsform</w:t>
      </w:r>
    </w:p>
    <w:p w:rsidR="003C2F96" w:rsidRPr="00020CCE" w:rsidRDefault="00FA411B" w:rsidP="006945D4">
      <w:pPr>
        <w:rPr>
          <w:rFonts w:cstheme="minorHAnsi"/>
          <w:color w:val="000000"/>
        </w:rPr>
      </w:pPr>
      <w:r>
        <w:rPr>
          <w:rFonts w:cstheme="minorHAnsi"/>
          <w:noProof/>
          <w:color w:val="000000"/>
        </w:rPr>
        <w:t>Varsling kan</w:t>
      </w:r>
      <w:r>
        <w:rPr>
          <w:rFonts w:cstheme="minorHAnsi"/>
          <w:color w:val="000000"/>
        </w:rPr>
        <w:t xml:space="preserve"> skje muntlig eller ved skriftlig henvendelse (bre</w:t>
      </w:r>
      <w:r>
        <w:rPr>
          <w:rFonts w:cstheme="minorHAnsi"/>
          <w:color w:val="000000"/>
        </w:rPr>
        <w:t>v, e-post eller lignende). Ved muntlige henvendelser, se punkt 5 nedenfor.</w:t>
      </w:r>
    </w:p>
    <w:p w:rsidR="003C2F96" w:rsidRDefault="00FA411B" w:rsidP="001559C2">
      <w:pPr>
        <w:pStyle w:val="Antrat2"/>
        <w:numPr>
          <w:ilvl w:val="0"/>
          <w:numId w:val="7"/>
        </w:numPr>
      </w:pPr>
      <w:r>
        <w:t>Varslingsmottakers ansvar</w:t>
      </w:r>
    </w:p>
    <w:p w:rsidR="006945D4" w:rsidRPr="00020CCE" w:rsidRDefault="00FA411B" w:rsidP="006945D4">
      <w:pPr>
        <w:rPr>
          <w:rFonts w:ascii="Calibri" w:hAnsi="Calibri" w:cs="Calibri"/>
          <w:color w:val="000000"/>
        </w:rPr>
      </w:pPr>
      <w:r>
        <w:rPr>
          <w:rFonts w:ascii="Calibri" w:hAnsi="Calibri" w:cs="Calibri"/>
          <w:noProof/>
          <w:color w:val="000000"/>
        </w:rPr>
        <w:t>Den person</w:t>
      </w:r>
      <w:r>
        <w:rPr>
          <w:rFonts w:ascii="Calibri" w:hAnsi="Calibri" w:cs="Calibri"/>
          <w:color w:val="000000"/>
        </w:rPr>
        <w:t xml:space="preserve"> (jf punkt 3) som mottar melding om forhold som beskrevet i punkt 1, skal nedtegne opplysningene dersom de gis muntlig. Vedkommende skal sende den skriftlige meldingen eller nedtegnelsen til daglig leder, med kopi til den som har varslet. Daglig leder har </w:t>
      </w:r>
      <w:r>
        <w:rPr>
          <w:rFonts w:ascii="Calibri" w:hAnsi="Calibri" w:cs="Calibri"/>
          <w:color w:val="000000"/>
        </w:rPr>
        <w:t>ansvar for å følge opp meldingen og for å sørge for at denne behandles av rett instans/person i selskapet.</w:t>
      </w:r>
    </w:p>
    <w:p w:rsidR="003C2F96" w:rsidRDefault="00FA411B" w:rsidP="001559C2">
      <w:pPr>
        <w:pStyle w:val="Antrat2"/>
        <w:numPr>
          <w:ilvl w:val="0"/>
          <w:numId w:val="7"/>
        </w:numPr>
      </w:pPr>
      <w:r>
        <w:t>Intern oppfølging</w:t>
      </w:r>
    </w:p>
    <w:p w:rsidR="006945D4" w:rsidRPr="006945D4" w:rsidRDefault="00FA411B" w:rsidP="006945D4">
      <w:pPr>
        <w:rPr>
          <w:rFonts w:ascii="Calibri" w:eastAsia="Times New Roman" w:hAnsi="Calibri" w:cs="Calibri"/>
          <w:color w:val="000000"/>
          <w:lang w:eastAsia="nb-NO"/>
        </w:rPr>
      </w:pPr>
      <w:r>
        <w:rPr>
          <w:rFonts w:ascii="Calibri" w:eastAsia="Times New Roman" w:hAnsi="Calibri" w:cs="Calibri"/>
          <w:noProof/>
          <w:color w:val="000000"/>
          <w:lang w:eastAsia="nb-NO"/>
        </w:rPr>
        <w:t>Etter at</w:t>
      </w:r>
      <w:r>
        <w:rPr>
          <w:rFonts w:ascii="Calibri" w:eastAsia="Times New Roman" w:hAnsi="Calibri" w:cs="Calibri"/>
          <w:color w:val="000000"/>
          <w:lang w:eastAsia="nb-NO"/>
        </w:rPr>
        <w:t xml:space="preserve"> saken er tilstrekkelig godt opplyst, skal beslutning om utfallet av saken tas av den i virksomheten som er ansvarlig for d</w:t>
      </w:r>
      <w:r>
        <w:rPr>
          <w:rFonts w:ascii="Calibri" w:eastAsia="Times New Roman" w:hAnsi="Calibri" w:cs="Calibri"/>
          <w:color w:val="000000"/>
          <w:lang w:eastAsia="nb-NO"/>
        </w:rPr>
        <w:t>et forholdet varslingen gjelder. Det skal alltid vurderes om den enkelte varslingssak gir grunnlag for generelle tiltak i virksomheten. Når beslutning i saken er tatt, skal den som har varslet informeres om beslutningen så langt dette ikke er i strid med l</w:t>
      </w:r>
      <w:r>
        <w:rPr>
          <w:rFonts w:ascii="Calibri" w:eastAsia="Times New Roman" w:hAnsi="Calibri" w:cs="Calibri"/>
          <w:color w:val="000000"/>
          <w:lang w:eastAsia="nb-NO"/>
        </w:rPr>
        <w:t>ov.</w:t>
      </w:r>
    </w:p>
    <w:p w:rsidR="003C2F96" w:rsidRDefault="00FA411B" w:rsidP="001559C2">
      <w:pPr>
        <w:pStyle w:val="Antrat2"/>
        <w:numPr>
          <w:ilvl w:val="0"/>
          <w:numId w:val="7"/>
        </w:numPr>
      </w:pPr>
      <w:r>
        <w:t>Forbudet mot gjengjeldelse</w:t>
      </w:r>
    </w:p>
    <w:p w:rsidR="003C2F96" w:rsidRPr="00020CCE" w:rsidRDefault="00FA411B" w:rsidP="006945D4">
      <w:pPr>
        <w:rPr>
          <w:rFonts w:eastAsia="Times New Roman" w:cstheme="minorHAnsi"/>
          <w:color w:val="000000"/>
          <w:lang w:eastAsia="nb-NO"/>
        </w:rPr>
      </w:pPr>
      <w:r>
        <w:rPr>
          <w:rFonts w:eastAsia="Times New Roman" w:cstheme="minorHAnsi"/>
          <w:noProof/>
          <w:color w:val="000000"/>
          <w:lang w:eastAsia="nb-NO"/>
        </w:rPr>
        <w:t>Den som</w:t>
      </w:r>
      <w:r>
        <w:rPr>
          <w:rFonts w:eastAsia="Times New Roman" w:cstheme="minorHAnsi"/>
          <w:color w:val="000000"/>
          <w:lang w:eastAsia="nb-NO"/>
        </w:rPr>
        <w:t xml:space="preserve"> har varslet i tråd med arbeidsmiljøloven § 2 A-2 og disse retningslinjene, skal være vernet mot enhver ugunstig behandling som er en reaksjon på at det er blitt varslet ("gjengjeldelse").</w:t>
      </w:r>
    </w:p>
    <w:p w:rsidR="003C2F96" w:rsidRDefault="00FA411B" w:rsidP="001559C2">
      <w:pPr>
        <w:pStyle w:val="Antrat2"/>
        <w:numPr>
          <w:ilvl w:val="0"/>
          <w:numId w:val="7"/>
        </w:numPr>
      </w:pPr>
      <w:r>
        <w:t>Sensitive opplysninger</w:t>
      </w:r>
    </w:p>
    <w:p w:rsidR="006945D4" w:rsidRPr="00E65251" w:rsidRDefault="00FA411B" w:rsidP="006945D4">
      <w:pPr>
        <w:rPr>
          <w:rFonts w:eastAsia="Times New Roman" w:cstheme="minorHAnsi"/>
          <w:color w:val="000000"/>
          <w:lang w:eastAsia="nb-NO"/>
        </w:rPr>
      </w:pPr>
      <w:r>
        <w:rPr>
          <w:rFonts w:eastAsia="Times New Roman" w:cstheme="minorHAnsi"/>
          <w:noProof/>
          <w:color w:val="000000"/>
          <w:lang w:eastAsia="nb-NO"/>
        </w:rPr>
        <w:t>I vars</w:t>
      </w:r>
      <w:r>
        <w:rPr>
          <w:rFonts w:eastAsia="Times New Roman" w:cstheme="minorHAnsi"/>
          <w:noProof/>
          <w:color w:val="000000"/>
          <w:lang w:eastAsia="nb-NO"/>
        </w:rPr>
        <w:t>lingssaker</w:t>
      </w:r>
      <w:r>
        <w:rPr>
          <w:rFonts w:eastAsia="Times New Roman" w:cstheme="minorHAnsi"/>
          <w:color w:val="000000"/>
          <w:lang w:eastAsia="nb-NO"/>
        </w:rPr>
        <w:t>, som typisk gjelder sensitive opplysninger, er det særlig viktig å iaktta de gjeldende reglene i selskapet om taushetsplikt. For øvrig må personopplysningsloven iakttas ved behandling av alle personopplysninger.</w:t>
      </w:r>
    </w:p>
    <w:p w:rsidR="003C2F96" w:rsidRPr="00E65251" w:rsidRDefault="00FA411B" w:rsidP="00E65251">
      <w:pPr>
        <w:jc w:val="center"/>
        <w:rPr>
          <w:rFonts w:cstheme="minorHAnsi"/>
        </w:rPr>
      </w:pPr>
      <w:r w:rsidRPr="00E65251">
        <w:rPr>
          <w:rFonts w:cstheme="minorHAnsi"/>
        </w:rPr>
        <w:t>*  *  *</w:t>
      </w:r>
    </w:p>
    <w:p w:rsidR="003C2F96" w:rsidRPr="00E65251" w:rsidRDefault="00FA411B" w:rsidP="006945D4">
      <w:pPr>
        <w:rPr>
          <w:rFonts w:cstheme="minorHAnsi"/>
        </w:rPr>
      </w:pPr>
    </w:p>
    <w:sectPr w:rsidR="003C2F96" w:rsidRPr="00E6525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11B" w:rsidRDefault="00FA411B">
      <w:pPr>
        <w:spacing w:after="0" w:line="240" w:lineRule="auto"/>
      </w:pPr>
      <w:r>
        <w:separator/>
      </w:r>
    </w:p>
  </w:endnote>
  <w:endnote w:type="continuationSeparator" w:id="0">
    <w:p w:rsidR="00FA411B" w:rsidRDefault="00FA4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645" w:rsidRPr="00FF7D5F" w:rsidRDefault="00FA411B">
    <w:pPr>
      <w:pStyle w:val="Porat"/>
      <w:rPr>
        <w:sz w:val="18"/>
        <w:szCs w:val="18"/>
      </w:rPr>
    </w:pPr>
    <w:r>
      <w:rPr>
        <w:sz w:val="18"/>
        <w:szCs w:val="18"/>
      </w:rPr>
      <w:tab/>
    </w:r>
    <w:r>
      <w:rPr>
        <w:sz w:val="18"/>
        <w:szCs w:val="18"/>
      </w:rPr>
      <w:tab/>
      <w:t xml:space="preserve">Side </w:t>
    </w:r>
    <w:r w:rsidRPr="00577CEF">
      <w:rPr>
        <w:rStyle w:val="Puslapionumeris"/>
        <w:rFonts w:ascii="Calibri" w:hAnsi="Calibri" w:cs="Arial"/>
        <w:sz w:val="18"/>
        <w:szCs w:val="18"/>
      </w:rPr>
      <w:fldChar w:fldCharType="begin"/>
    </w:r>
    <w:r w:rsidRPr="00577CEF">
      <w:rPr>
        <w:rStyle w:val="Puslapionumeris"/>
        <w:rFonts w:ascii="Calibri" w:hAnsi="Calibri" w:cs="Arial"/>
        <w:sz w:val="18"/>
        <w:szCs w:val="18"/>
      </w:rPr>
      <w:instrText xml:space="preserve"> PAGE </w:instrText>
    </w:r>
    <w:r w:rsidRPr="00577CEF">
      <w:rPr>
        <w:rStyle w:val="Puslapionumeris"/>
        <w:rFonts w:ascii="Calibri" w:hAnsi="Calibri" w:cs="Arial"/>
        <w:sz w:val="18"/>
        <w:szCs w:val="18"/>
      </w:rPr>
      <w:fldChar w:fldCharType="separate"/>
    </w:r>
    <w:r w:rsidR="00BC6389">
      <w:rPr>
        <w:rStyle w:val="Puslapionumeris"/>
        <w:rFonts w:ascii="Calibri" w:hAnsi="Calibri" w:cs="Arial"/>
        <w:noProof/>
        <w:sz w:val="18"/>
        <w:szCs w:val="18"/>
      </w:rPr>
      <w:t>2</w:t>
    </w:r>
    <w:r w:rsidRPr="00577CEF">
      <w:rPr>
        <w:rStyle w:val="Puslapionumeris"/>
        <w:rFonts w:ascii="Calibri" w:hAnsi="Calibri" w:cs="Arial"/>
        <w:sz w:val="18"/>
        <w:szCs w:val="18"/>
      </w:rPr>
      <w:fldChar w:fldCharType="end"/>
    </w:r>
    <w:r>
      <w:rPr>
        <w:rStyle w:val="Puslapionumeris"/>
        <w:rFonts w:ascii="Calibri" w:hAnsi="Calibri" w:cs="Arial"/>
        <w:sz w:val="18"/>
        <w:szCs w:val="18"/>
      </w:rPr>
      <w:t xml:space="preserve"> av </w:t>
    </w:r>
    <w:r w:rsidRPr="00577CEF">
      <w:rPr>
        <w:rStyle w:val="Puslapionumeris"/>
        <w:rFonts w:ascii="Calibri" w:hAnsi="Calibri" w:cs="Arial"/>
        <w:sz w:val="18"/>
        <w:szCs w:val="18"/>
      </w:rPr>
      <w:fldChar w:fldCharType="begin"/>
    </w:r>
    <w:r w:rsidRPr="00577CEF">
      <w:rPr>
        <w:rStyle w:val="Puslapionumeris"/>
        <w:rFonts w:ascii="Calibri" w:hAnsi="Calibri" w:cs="Arial"/>
        <w:sz w:val="18"/>
        <w:szCs w:val="18"/>
      </w:rPr>
      <w:instrText xml:space="preserve"> NUMPAGES </w:instrText>
    </w:r>
    <w:r w:rsidRPr="00577CEF">
      <w:rPr>
        <w:rStyle w:val="Puslapionumeris"/>
        <w:rFonts w:ascii="Calibri" w:hAnsi="Calibri" w:cs="Arial"/>
        <w:sz w:val="18"/>
        <w:szCs w:val="18"/>
      </w:rPr>
      <w:fldChar w:fldCharType="separate"/>
    </w:r>
    <w:r w:rsidR="00BC6389">
      <w:rPr>
        <w:rStyle w:val="Puslapionumeris"/>
        <w:rFonts w:ascii="Calibri" w:hAnsi="Calibri" w:cs="Arial"/>
        <w:noProof/>
        <w:sz w:val="18"/>
        <w:szCs w:val="18"/>
      </w:rPr>
      <w:t>2</w:t>
    </w:r>
    <w:r w:rsidRPr="00577CEF">
      <w:rPr>
        <w:rStyle w:val="Puslapionumeris"/>
        <w:rFonts w:ascii="Calibri" w:hAnsi="Calibri"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11B" w:rsidRDefault="00FA411B">
      <w:pPr>
        <w:spacing w:after="0" w:line="240" w:lineRule="auto"/>
      </w:pPr>
      <w:r>
        <w:separator/>
      </w:r>
    </w:p>
  </w:footnote>
  <w:footnote w:type="continuationSeparator" w:id="0">
    <w:p w:rsidR="00FA411B" w:rsidRDefault="00FA41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85618"/>
    <w:multiLevelType w:val="hybridMultilevel"/>
    <w:tmpl w:val="A79C8F7A"/>
    <w:lvl w:ilvl="0" w:tplc="ABF0A216">
      <w:start w:val="1"/>
      <w:numFmt w:val="decimal"/>
      <w:lvlText w:val="%1."/>
      <w:lvlJc w:val="left"/>
      <w:pPr>
        <w:ind w:left="720" w:hanging="360"/>
      </w:pPr>
      <w:rPr>
        <w:rFonts w:hint="default"/>
      </w:rPr>
    </w:lvl>
    <w:lvl w:ilvl="1" w:tplc="A7FCE01A" w:tentative="1">
      <w:start w:val="1"/>
      <w:numFmt w:val="lowerLetter"/>
      <w:lvlText w:val="%2."/>
      <w:lvlJc w:val="left"/>
      <w:pPr>
        <w:ind w:left="1440" w:hanging="360"/>
      </w:pPr>
    </w:lvl>
    <w:lvl w:ilvl="2" w:tplc="E1B8D1E4" w:tentative="1">
      <w:start w:val="1"/>
      <w:numFmt w:val="lowerRoman"/>
      <w:lvlText w:val="%3."/>
      <w:lvlJc w:val="right"/>
      <w:pPr>
        <w:ind w:left="2160" w:hanging="180"/>
      </w:pPr>
    </w:lvl>
    <w:lvl w:ilvl="3" w:tplc="BE2C558E" w:tentative="1">
      <w:start w:val="1"/>
      <w:numFmt w:val="decimal"/>
      <w:lvlText w:val="%4."/>
      <w:lvlJc w:val="left"/>
      <w:pPr>
        <w:ind w:left="2880" w:hanging="360"/>
      </w:pPr>
    </w:lvl>
    <w:lvl w:ilvl="4" w:tplc="9E06D818" w:tentative="1">
      <w:start w:val="1"/>
      <w:numFmt w:val="lowerLetter"/>
      <w:lvlText w:val="%5."/>
      <w:lvlJc w:val="left"/>
      <w:pPr>
        <w:ind w:left="3600" w:hanging="360"/>
      </w:pPr>
    </w:lvl>
    <w:lvl w:ilvl="5" w:tplc="A9A80FA0" w:tentative="1">
      <w:start w:val="1"/>
      <w:numFmt w:val="lowerRoman"/>
      <w:lvlText w:val="%6."/>
      <w:lvlJc w:val="right"/>
      <w:pPr>
        <w:ind w:left="4320" w:hanging="180"/>
      </w:pPr>
    </w:lvl>
    <w:lvl w:ilvl="6" w:tplc="C4D6B730" w:tentative="1">
      <w:start w:val="1"/>
      <w:numFmt w:val="decimal"/>
      <w:lvlText w:val="%7."/>
      <w:lvlJc w:val="left"/>
      <w:pPr>
        <w:ind w:left="5040" w:hanging="360"/>
      </w:pPr>
    </w:lvl>
    <w:lvl w:ilvl="7" w:tplc="3C5E72E6" w:tentative="1">
      <w:start w:val="1"/>
      <w:numFmt w:val="lowerLetter"/>
      <w:lvlText w:val="%8."/>
      <w:lvlJc w:val="left"/>
      <w:pPr>
        <w:ind w:left="5760" w:hanging="360"/>
      </w:pPr>
    </w:lvl>
    <w:lvl w:ilvl="8" w:tplc="60E006C4" w:tentative="1">
      <w:start w:val="1"/>
      <w:numFmt w:val="lowerRoman"/>
      <w:lvlText w:val="%9."/>
      <w:lvlJc w:val="right"/>
      <w:pPr>
        <w:ind w:left="6480" w:hanging="180"/>
      </w:pPr>
    </w:lvl>
  </w:abstractNum>
  <w:abstractNum w:abstractNumId="1" w15:restartNumberingAfterBreak="0">
    <w:nsid w:val="2153151A"/>
    <w:multiLevelType w:val="hybridMultilevel"/>
    <w:tmpl w:val="57560DFE"/>
    <w:lvl w:ilvl="0" w:tplc="96D04F16">
      <w:start w:val="1"/>
      <w:numFmt w:val="decimal"/>
      <w:lvlText w:val="%1."/>
      <w:lvlJc w:val="left"/>
      <w:pPr>
        <w:ind w:left="720" w:hanging="360"/>
      </w:pPr>
    </w:lvl>
    <w:lvl w:ilvl="1" w:tplc="695667F4" w:tentative="1">
      <w:start w:val="1"/>
      <w:numFmt w:val="lowerLetter"/>
      <w:lvlText w:val="%2."/>
      <w:lvlJc w:val="left"/>
      <w:pPr>
        <w:ind w:left="1440" w:hanging="360"/>
      </w:pPr>
    </w:lvl>
    <w:lvl w:ilvl="2" w:tplc="70BC3C30" w:tentative="1">
      <w:start w:val="1"/>
      <w:numFmt w:val="lowerRoman"/>
      <w:lvlText w:val="%3."/>
      <w:lvlJc w:val="right"/>
      <w:pPr>
        <w:ind w:left="2160" w:hanging="180"/>
      </w:pPr>
    </w:lvl>
    <w:lvl w:ilvl="3" w:tplc="6160215E" w:tentative="1">
      <w:start w:val="1"/>
      <w:numFmt w:val="decimal"/>
      <w:lvlText w:val="%4."/>
      <w:lvlJc w:val="left"/>
      <w:pPr>
        <w:ind w:left="2880" w:hanging="360"/>
      </w:pPr>
    </w:lvl>
    <w:lvl w:ilvl="4" w:tplc="8C8E92C2" w:tentative="1">
      <w:start w:val="1"/>
      <w:numFmt w:val="lowerLetter"/>
      <w:lvlText w:val="%5."/>
      <w:lvlJc w:val="left"/>
      <w:pPr>
        <w:ind w:left="3600" w:hanging="360"/>
      </w:pPr>
    </w:lvl>
    <w:lvl w:ilvl="5" w:tplc="9FA02B86" w:tentative="1">
      <w:start w:val="1"/>
      <w:numFmt w:val="lowerRoman"/>
      <w:lvlText w:val="%6."/>
      <w:lvlJc w:val="right"/>
      <w:pPr>
        <w:ind w:left="4320" w:hanging="180"/>
      </w:pPr>
    </w:lvl>
    <w:lvl w:ilvl="6" w:tplc="0CBCD5BC" w:tentative="1">
      <w:start w:val="1"/>
      <w:numFmt w:val="decimal"/>
      <w:lvlText w:val="%7."/>
      <w:lvlJc w:val="left"/>
      <w:pPr>
        <w:ind w:left="5040" w:hanging="360"/>
      </w:pPr>
    </w:lvl>
    <w:lvl w:ilvl="7" w:tplc="3EE43678" w:tentative="1">
      <w:start w:val="1"/>
      <w:numFmt w:val="lowerLetter"/>
      <w:lvlText w:val="%8."/>
      <w:lvlJc w:val="left"/>
      <w:pPr>
        <w:ind w:left="5760" w:hanging="360"/>
      </w:pPr>
    </w:lvl>
    <w:lvl w:ilvl="8" w:tplc="EDA8CF04" w:tentative="1">
      <w:start w:val="1"/>
      <w:numFmt w:val="lowerRoman"/>
      <w:lvlText w:val="%9."/>
      <w:lvlJc w:val="right"/>
      <w:pPr>
        <w:ind w:left="6480" w:hanging="180"/>
      </w:pPr>
    </w:lvl>
  </w:abstractNum>
  <w:abstractNum w:abstractNumId="2" w15:restartNumberingAfterBreak="0">
    <w:nsid w:val="25D21EF9"/>
    <w:multiLevelType w:val="multilevel"/>
    <w:tmpl w:val="BA4ED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AE1402"/>
    <w:multiLevelType w:val="hybridMultilevel"/>
    <w:tmpl w:val="93D82F3C"/>
    <w:lvl w:ilvl="0" w:tplc="41CA6BB6">
      <w:start w:val="1"/>
      <w:numFmt w:val="decimal"/>
      <w:lvlText w:val="%1."/>
      <w:lvlJc w:val="left"/>
      <w:pPr>
        <w:ind w:left="720" w:hanging="360"/>
      </w:pPr>
    </w:lvl>
    <w:lvl w:ilvl="1" w:tplc="8DBE3A74" w:tentative="1">
      <w:start w:val="1"/>
      <w:numFmt w:val="lowerLetter"/>
      <w:lvlText w:val="%2."/>
      <w:lvlJc w:val="left"/>
      <w:pPr>
        <w:ind w:left="1440" w:hanging="360"/>
      </w:pPr>
    </w:lvl>
    <w:lvl w:ilvl="2" w:tplc="D086549A" w:tentative="1">
      <w:start w:val="1"/>
      <w:numFmt w:val="lowerRoman"/>
      <w:lvlText w:val="%3."/>
      <w:lvlJc w:val="right"/>
      <w:pPr>
        <w:ind w:left="2160" w:hanging="180"/>
      </w:pPr>
    </w:lvl>
    <w:lvl w:ilvl="3" w:tplc="1A686A00" w:tentative="1">
      <w:start w:val="1"/>
      <w:numFmt w:val="decimal"/>
      <w:lvlText w:val="%4."/>
      <w:lvlJc w:val="left"/>
      <w:pPr>
        <w:ind w:left="2880" w:hanging="360"/>
      </w:pPr>
    </w:lvl>
    <w:lvl w:ilvl="4" w:tplc="04381496" w:tentative="1">
      <w:start w:val="1"/>
      <w:numFmt w:val="lowerLetter"/>
      <w:lvlText w:val="%5."/>
      <w:lvlJc w:val="left"/>
      <w:pPr>
        <w:ind w:left="3600" w:hanging="360"/>
      </w:pPr>
    </w:lvl>
    <w:lvl w:ilvl="5" w:tplc="FC70F86A" w:tentative="1">
      <w:start w:val="1"/>
      <w:numFmt w:val="lowerRoman"/>
      <w:lvlText w:val="%6."/>
      <w:lvlJc w:val="right"/>
      <w:pPr>
        <w:ind w:left="4320" w:hanging="180"/>
      </w:pPr>
    </w:lvl>
    <w:lvl w:ilvl="6" w:tplc="84042076" w:tentative="1">
      <w:start w:val="1"/>
      <w:numFmt w:val="decimal"/>
      <w:lvlText w:val="%7."/>
      <w:lvlJc w:val="left"/>
      <w:pPr>
        <w:ind w:left="5040" w:hanging="360"/>
      </w:pPr>
    </w:lvl>
    <w:lvl w:ilvl="7" w:tplc="C21E8B20" w:tentative="1">
      <w:start w:val="1"/>
      <w:numFmt w:val="lowerLetter"/>
      <w:lvlText w:val="%8."/>
      <w:lvlJc w:val="left"/>
      <w:pPr>
        <w:ind w:left="5760" w:hanging="360"/>
      </w:pPr>
    </w:lvl>
    <w:lvl w:ilvl="8" w:tplc="E474ED52" w:tentative="1">
      <w:start w:val="1"/>
      <w:numFmt w:val="lowerRoman"/>
      <w:lvlText w:val="%9."/>
      <w:lvlJc w:val="right"/>
      <w:pPr>
        <w:ind w:left="6480" w:hanging="180"/>
      </w:pPr>
    </w:lvl>
  </w:abstractNum>
  <w:abstractNum w:abstractNumId="4" w15:restartNumberingAfterBreak="0">
    <w:nsid w:val="2C9D4E8C"/>
    <w:multiLevelType w:val="hybridMultilevel"/>
    <w:tmpl w:val="393400BC"/>
    <w:lvl w:ilvl="0" w:tplc="C4D0D986">
      <w:start w:val="1"/>
      <w:numFmt w:val="decimal"/>
      <w:lvlText w:val="%1."/>
      <w:lvlJc w:val="left"/>
      <w:pPr>
        <w:ind w:left="1440" w:hanging="360"/>
      </w:pPr>
    </w:lvl>
    <w:lvl w:ilvl="1" w:tplc="741A806C" w:tentative="1">
      <w:start w:val="1"/>
      <w:numFmt w:val="lowerLetter"/>
      <w:lvlText w:val="%2."/>
      <w:lvlJc w:val="left"/>
      <w:pPr>
        <w:ind w:left="2160" w:hanging="360"/>
      </w:pPr>
    </w:lvl>
    <w:lvl w:ilvl="2" w:tplc="1DD25826" w:tentative="1">
      <w:start w:val="1"/>
      <w:numFmt w:val="lowerRoman"/>
      <w:lvlText w:val="%3."/>
      <w:lvlJc w:val="right"/>
      <w:pPr>
        <w:ind w:left="2880" w:hanging="180"/>
      </w:pPr>
    </w:lvl>
    <w:lvl w:ilvl="3" w:tplc="4400249E" w:tentative="1">
      <w:start w:val="1"/>
      <w:numFmt w:val="decimal"/>
      <w:lvlText w:val="%4."/>
      <w:lvlJc w:val="left"/>
      <w:pPr>
        <w:ind w:left="3600" w:hanging="360"/>
      </w:pPr>
    </w:lvl>
    <w:lvl w:ilvl="4" w:tplc="41E089AA" w:tentative="1">
      <w:start w:val="1"/>
      <w:numFmt w:val="lowerLetter"/>
      <w:lvlText w:val="%5."/>
      <w:lvlJc w:val="left"/>
      <w:pPr>
        <w:ind w:left="4320" w:hanging="360"/>
      </w:pPr>
    </w:lvl>
    <w:lvl w:ilvl="5" w:tplc="CF100FD0" w:tentative="1">
      <w:start w:val="1"/>
      <w:numFmt w:val="lowerRoman"/>
      <w:lvlText w:val="%6."/>
      <w:lvlJc w:val="right"/>
      <w:pPr>
        <w:ind w:left="5040" w:hanging="180"/>
      </w:pPr>
    </w:lvl>
    <w:lvl w:ilvl="6" w:tplc="F61A0124" w:tentative="1">
      <w:start w:val="1"/>
      <w:numFmt w:val="decimal"/>
      <w:lvlText w:val="%7."/>
      <w:lvlJc w:val="left"/>
      <w:pPr>
        <w:ind w:left="5760" w:hanging="360"/>
      </w:pPr>
    </w:lvl>
    <w:lvl w:ilvl="7" w:tplc="2C2AA902" w:tentative="1">
      <w:start w:val="1"/>
      <w:numFmt w:val="lowerLetter"/>
      <w:lvlText w:val="%8."/>
      <w:lvlJc w:val="left"/>
      <w:pPr>
        <w:ind w:left="6480" w:hanging="360"/>
      </w:pPr>
    </w:lvl>
    <w:lvl w:ilvl="8" w:tplc="29A87B3A" w:tentative="1">
      <w:start w:val="1"/>
      <w:numFmt w:val="lowerRoman"/>
      <w:lvlText w:val="%9."/>
      <w:lvlJc w:val="right"/>
      <w:pPr>
        <w:ind w:left="7200" w:hanging="180"/>
      </w:pPr>
    </w:lvl>
  </w:abstractNum>
  <w:abstractNum w:abstractNumId="5" w15:restartNumberingAfterBreak="0">
    <w:nsid w:val="58284D90"/>
    <w:multiLevelType w:val="hybridMultilevel"/>
    <w:tmpl w:val="B91012B6"/>
    <w:lvl w:ilvl="0" w:tplc="429A5C5E">
      <w:start w:val="1"/>
      <w:numFmt w:val="decimal"/>
      <w:lvlText w:val="%1."/>
      <w:lvlJc w:val="left"/>
      <w:pPr>
        <w:ind w:left="1440" w:hanging="360"/>
      </w:pPr>
    </w:lvl>
    <w:lvl w:ilvl="1" w:tplc="E9923742" w:tentative="1">
      <w:start w:val="1"/>
      <w:numFmt w:val="lowerLetter"/>
      <w:lvlText w:val="%2."/>
      <w:lvlJc w:val="left"/>
      <w:pPr>
        <w:ind w:left="2160" w:hanging="360"/>
      </w:pPr>
    </w:lvl>
    <w:lvl w:ilvl="2" w:tplc="58F40B84" w:tentative="1">
      <w:start w:val="1"/>
      <w:numFmt w:val="lowerRoman"/>
      <w:lvlText w:val="%3."/>
      <w:lvlJc w:val="right"/>
      <w:pPr>
        <w:ind w:left="2880" w:hanging="180"/>
      </w:pPr>
    </w:lvl>
    <w:lvl w:ilvl="3" w:tplc="1EB2D25C" w:tentative="1">
      <w:start w:val="1"/>
      <w:numFmt w:val="decimal"/>
      <w:lvlText w:val="%4."/>
      <w:lvlJc w:val="left"/>
      <w:pPr>
        <w:ind w:left="3600" w:hanging="360"/>
      </w:pPr>
    </w:lvl>
    <w:lvl w:ilvl="4" w:tplc="9718E118" w:tentative="1">
      <w:start w:val="1"/>
      <w:numFmt w:val="lowerLetter"/>
      <w:lvlText w:val="%5."/>
      <w:lvlJc w:val="left"/>
      <w:pPr>
        <w:ind w:left="4320" w:hanging="360"/>
      </w:pPr>
    </w:lvl>
    <w:lvl w:ilvl="5" w:tplc="FBF6CC6C" w:tentative="1">
      <w:start w:val="1"/>
      <w:numFmt w:val="lowerRoman"/>
      <w:lvlText w:val="%6."/>
      <w:lvlJc w:val="right"/>
      <w:pPr>
        <w:ind w:left="5040" w:hanging="180"/>
      </w:pPr>
    </w:lvl>
    <w:lvl w:ilvl="6" w:tplc="C07856C6" w:tentative="1">
      <w:start w:val="1"/>
      <w:numFmt w:val="decimal"/>
      <w:lvlText w:val="%7."/>
      <w:lvlJc w:val="left"/>
      <w:pPr>
        <w:ind w:left="5760" w:hanging="360"/>
      </w:pPr>
    </w:lvl>
    <w:lvl w:ilvl="7" w:tplc="5F0010DC" w:tentative="1">
      <w:start w:val="1"/>
      <w:numFmt w:val="lowerLetter"/>
      <w:lvlText w:val="%8."/>
      <w:lvlJc w:val="left"/>
      <w:pPr>
        <w:ind w:left="6480" w:hanging="360"/>
      </w:pPr>
    </w:lvl>
    <w:lvl w:ilvl="8" w:tplc="06F43C34" w:tentative="1">
      <w:start w:val="1"/>
      <w:numFmt w:val="lowerRoman"/>
      <w:lvlText w:val="%9."/>
      <w:lvlJc w:val="right"/>
      <w:pPr>
        <w:ind w:left="7200" w:hanging="180"/>
      </w:pPr>
    </w:lvl>
  </w:abstractNum>
  <w:abstractNum w:abstractNumId="6" w15:restartNumberingAfterBreak="0">
    <w:nsid w:val="5C6E211C"/>
    <w:multiLevelType w:val="multilevel"/>
    <w:tmpl w:val="D5965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2E5"/>
    <w:rsid w:val="004A12E5"/>
    <w:rsid w:val="00BC6389"/>
    <w:rsid w:val="00FA41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14079-23B6-4640-BA24-7DE24F4E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style>
  <w:style w:type="paragraph" w:styleId="Antrat1">
    <w:name w:val="heading 1"/>
    <w:basedOn w:val="prastasis"/>
    <w:next w:val="prastasis"/>
    <w:link w:val="Antrat1Diagrama"/>
    <w:uiPriority w:val="9"/>
    <w:qFormat/>
    <w:rsid w:val="006945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6945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unhideWhenUsed/>
    <w:qFormat/>
    <w:rsid w:val="00E652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F7D5F"/>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FF7D5F"/>
  </w:style>
  <w:style w:type="paragraph" w:styleId="Porat">
    <w:name w:val="footer"/>
    <w:basedOn w:val="prastasis"/>
    <w:link w:val="PoratDiagrama"/>
    <w:uiPriority w:val="99"/>
    <w:unhideWhenUsed/>
    <w:rsid w:val="00FF7D5F"/>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FF7D5F"/>
  </w:style>
  <w:style w:type="character" w:styleId="Puslapionumeris">
    <w:name w:val="page number"/>
    <w:basedOn w:val="Numatytasispastraiposriftas"/>
    <w:rsid w:val="00FF7D5F"/>
  </w:style>
  <w:style w:type="paragraph" w:customStyle="1" w:styleId="gr002davsnitt">
    <w:name w:val="gr_002davsnitt"/>
    <w:basedOn w:val="prastasis"/>
    <w:rsid w:val="006945D4"/>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gr002davsnittchar">
    <w:name w:val="gr_002davsnitt__char"/>
    <w:basedOn w:val="Numatytasispastraiposriftas"/>
    <w:rsid w:val="006945D4"/>
  </w:style>
  <w:style w:type="character" w:customStyle="1" w:styleId="apple-converted-space">
    <w:name w:val="apple-converted-space"/>
    <w:basedOn w:val="Numatytasispastraiposriftas"/>
    <w:rsid w:val="006945D4"/>
  </w:style>
  <w:style w:type="character" w:customStyle="1" w:styleId="hyperlinkchar">
    <w:name w:val="hyperlink__char"/>
    <w:basedOn w:val="Numatytasispastraiposriftas"/>
    <w:rsid w:val="006945D4"/>
  </w:style>
  <w:style w:type="paragraph" w:styleId="Sraopastraipa">
    <w:name w:val="List Paragraph"/>
    <w:basedOn w:val="prastasis"/>
    <w:uiPriority w:val="34"/>
    <w:qFormat/>
    <w:rsid w:val="006945D4"/>
    <w:pPr>
      <w:ind w:left="720"/>
      <w:contextualSpacing/>
    </w:pPr>
  </w:style>
  <w:style w:type="character" w:customStyle="1" w:styleId="Antrat1Diagrama">
    <w:name w:val="Antraštė 1 Diagrama"/>
    <w:basedOn w:val="Numatytasispastraiposriftas"/>
    <w:link w:val="Antrat1"/>
    <w:uiPriority w:val="9"/>
    <w:rsid w:val="006945D4"/>
    <w:rPr>
      <w:rFonts w:asciiTheme="majorHAnsi" w:eastAsiaTheme="majorEastAsia" w:hAnsiTheme="majorHAnsi" w:cstheme="majorBidi"/>
      <w:b/>
      <w:bCs/>
      <w:color w:val="365F91" w:themeColor="accent1" w:themeShade="BF"/>
      <w:sz w:val="28"/>
      <w:szCs w:val="28"/>
    </w:rPr>
  </w:style>
  <w:style w:type="character" w:styleId="Grietas">
    <w:name w:val="Strong"/>
    <w:basedOn w:val="Numatytasispastraiposriftas"/>
    <w:uiPriority w:val="22"/>
    <w:qFormat/>
    <w:rsid w:val="006945D4"/>
    <w:rPr>
      <w:b/>
      <w:bCs/>
    </w:rPr>
  </w:style>
  <w:style w:type="character" w:customStyle="1" w:styleId="Antrat2Diagrama">
    <w:name w:val="Antraštė 2 Diagrama"/>
    <w:basedOn w:val="Numatytasispastraiposriftas"/>
    <w:link w:val="Antrat2"/>
    <w:uiPriority w:val="9"/>
    <w:rsid w:val="006945D4"/>
    <w:rPr>
      <w:rFonts w:asciiTheme="majorHAnsi" w:eastAsiaTheme="majorEastAsia" w:hAnsiTheme="majorHAnsi" w:cstheme="majorBidi"/>
      <w:b/>
      <w:bCs/>
      <w:color w:val="4F81BD" w:themeColor="accent1"/>
      <w:sz w:val="26"/>
      <w:szCs w:val="26"/>
    </w:rPr>
  </w:style>
  <w:style w:type="character" w:customStyle="1" w:styleId="Antrat3Diagrama">
    <w:name w:val="Antraštė 3 Diagrama"/>
    <w:basedOn w:val="Numatytasispastraiposriftas"/>
    <w:link w:val="Antrat3"/>
    <w:uiPriority w:val="9"/>
    <w:rsid w:val="00E65251"/>
    <w:rPr>
      <w:rFonts w:asciiTheme="majorHAnsi" w:eastAsiaTheme="majorEastAsia" w:hAnsiTheme="majorHAnsi" w:cstheme="majorBidi"/>
      <w:b/>
      <w:bCs/>
      <w:color w:val="4F81BD" w:themeColor="accent1"/>
    </w:rPr>
  </w:style>
  <w:style w:type="paragraph" w:customStyle="1" w:styleId="GR-Avsnitt">
    <w:name w:val="GR-Avsnitt"/>
    <w:qFormat/>
    <w:rsid w:val="00B3359B"/>
    <w:pPr>
      <w:spacing w:line="240" w:lineRule="auto"/>
    </w:pPr>
    <w:rPr>
      <w:rFonts w:ascii="Calibri" w:eastAsia="Times New Roman" w:hAnsi="Calibri" w:cs="Times New Roman"/>
      <w:lang w:eastAsia="nb-NO"/>
    </w:rPr>
  </w:style>
  <w:style w:type="character" w:styleId="Hipersaitas">
    <w:name w:val="Hyperlink"/>
    <w:basedOn w:val="Numatytasispastraiposriftas"/>
    <w:uiPriority w:val="99"/>
    <w:rsid w:val="00347E99"/>
    <w:rPr>
      <w:color w:val="0000FF"/>
      <w:u w:val="single"/>
    </w:rPr>
  </w:style>
  <w:style w:type="paragraph" w:styleId="Debesliotekstas">
    <w:name w:val="Balloon Text"/>
    <w:basedOn w:val="prastasis"/>
    <w:link w:val="DebesliotekstasDiagrama"/>
    <w:uiPriority w:val="99"/>
    <w:semiHidden/>
    <w:unhideWhenUsed/>
    <w:rsid w:val="006126F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126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605</Words>
  <Characters>3453</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Contus Anna Regnskapsbyrå AS</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Buivydas</dc:creator>
  <cp:lastModifiedBy>Marius Buivydas</cp:lastModifiedBy>
  <cp:revision>4</cp:revision>
  <cp:lastPrinted>2013-09-04T08:55:00Z</cp:lastPrinted>
  <dcterms:created xsi:type="dcterms:W3CDTF">2017-07-14T10:10:00Z</dcterms:created>
  <dcterms:modified xsi:type="dcterms:W3CDTF">2017-07-14T11:45:00Z</dcterms:modified>
</cp:coreProperties>
</file>